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1623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358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Александра Викторовича,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Загайнов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Загайнов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получение судебных извещений посредством почтовой связи, телефонограммы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УТУ 23 № 026837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паспорта на имя Загайнова А.В.;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справки о проверке по информационным и оперативно-розыскным учетам;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протокола УТУ 23 № 001276 от 24 декабря 2023 года;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уведомления;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отправлении с идентификатором 80094791714402.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Загайнову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Загайнова Александра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0412365400235003582420104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0412365400235003582420104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358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358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